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F780" w14:textId="77777777" w:rsidR="00EF039D" w:rsidRPr="00EF039D" w:rsidRDefault="00EF039D" w:rsidP="00EF039D">
      <w:pPr>
        <w:rPr>
          <w:b/>
          <w:bCs/>
        </w:rPr>
      </w:pPr>
      <w:r w:rsidRPr="00EF039D">
        <w:rPr>
          <w:b/>
          <w:bCs/>
        </w:rPr>
        <w:t>Careers and Employability Service</w:t>
      </w:r>
    </w:p>
    <w:p w14:paraId="407BC596" w14:textId="06951263" w:rsidR="00EF039D" w:rsidRPr="00EF039D" w:rsidRDefault="00EF039D" w:rsidP="00EF039D">
      <w:pPr>
        <w:rPr>
          <w:b/>
          <w:bCs/>
        </w:rPr>
      </w:pPr>
      <w:r w:rsidRPr="00EF039D">
        <w:rPr>
          <w:b/>
          <w:bCs/>
        </w:rPr>
        <w:t xml:space="preserve">Ethical Recruitment and Employer Engagement </w:t>
      </w:r>
      <w:r w:rsidR="00E70BD0">
        <w:rPr>
          <w:b/>
          <w:bCs/>
        </w:rPr>
        <w:t xml:space="preserve">Operating </w:t>
      </w:r>
      <w:r w:rsidRPr="00EF039D">
        <w:rPr>
          <w:b/>
          <w:bCs/>
        </w:rPr>
        <w:t>Policy</w:t>
      </w:r>
    </w:p>
    <w:p w14:paraId="6757EE65" w14:textId="77777777" w:rsidR="00EF039D" w:rsidRPr="00EF039D" w:rsidRDefault="00EF039D" w:rsidP="00EF039D">
      <w:pPr>
        <w:rPr>
          <w:b/>
          <w:bCs/>
        </w:rPr>
      </w:pPr>
      <w:r w:rsidRPr="00EF039D">
        <w:rPr>
          <w:b/>
          <w:bCs/>
        </w:rPr>
        <w:t>1. Purpose</w:t>
      </w:r>
    </w:p>
    <w:p w14:paraId="33618FE7" w14:textId="77777777" w:rsidR="00EF039D" w:rsidRPr="00EF039D" w:rsidRDefault="00EF039D" w:rsidP="00EF039D">
      <w:r w:rsidRPr="00EF039D">
        <w:t>This policy sets out how the Careers and Employability Service manages employer engagement in a way that is:</w:t>
      </w:r>
    </w:p>
    <w:p w14:paraId="40DA6A62" w14:textId="77777777" w:rsidR="00EF039D" w:rsidRPr="00EF039D" w:rsidRDefault="00EF039D" w:rsidP="00EF039D">
      <w:pPr>
        <w:numPr>
          <w:ilvl w:val="0"/>
          <w:numId w:val="2"/>
        </w:numPr>
      </w:pPr>
      <w:r w:rsidRPr="00EF039D">
        <w:t>lawful and safe</w:t>
      </w:r>
    </w:p>
    <w:p w14:paraId="163006CC" w14:textId="77777777" w:rsidR="00EF039D" w:rsidRPr="00EF039D" w:rsidRDefault="00EF039D" w:rsidP="00EF039D">
      <w:pPr>
        <w:numPr>
          <w:ilvl w:val="0"/>
          <w:numId w:val="2"/>
        </w:numPr>
      </w:pPr>
      <w:r w:rsidRPr="00EF039D">
        <w:t>consistent and transparent</w:t>
      </w:r>
    </w:p>
    <w:p w14:paraId="4B8187BE" w14:textId="77777777" w:rsidR="00EF039D" w:rsidRPr="00EF039D" w:rsidRDefault="00EF039D" w:rsidP="00EF039D">
      <w:pPr>
        <w:numPr>
          <w:ilvl w:val="0"/>
          <w:numId w:val="2"/>
        </w:numPr>
      </w:pPr>
      <w:r w:rsidRPr="00EF039D">
        <w:t>impartial in student guidance</w:t>
      </w:r>
    </w:p>
    <w:p w14:paraId="43415060" w14:textId="77777777" w:rsidR="00EF039D" w:rsidRPr="00EF039D" w:rsidRDefault="00EF039D" w:rsidP="00EF039D">
      <w:pPr>
        <w:numPr>
          <w:ilvl w:val="0"/>
          <w:numId w:val="2"/>
        </w:numPr>
      </w:pPr>
      <w:r w:rsidRPr="00EF039D">
        <w:t>proportionate to institutional risk</w:t>
      </w:r>
    </w:p>
    <w:p w14:paraId="3BB5503C" w14:textId="77777777" w:rsidR="00EF039D" w:rsidRPr="00EF039D" w:rsidRDefault="00EF039D" w:rsidP="00EF039D">
      <w:r>
        <w:t>The policy does not seek to make moral judgements about employers, industries or sectors. Its purpose is to ensure that employer engagement meets minimum legal, regulatory, and safeguarding standards, while supporting students to make informed personal choices.</w:t>
      </w:r>
    </w:p>
    <w:p w14:paraId="35D3F413" w14:textId="77777777" w:rsidR="00EF039D" w:rsidRPr="00EF039D" w:rsidRDefault="00000000" w:rsidP="00EF039D">
      <w:r>
        <w:pict w14:anchorId="44812E51">
          <v:rect id="_x0000_i1025" style="width:0;height:1.5pt" o:hralign="center" o:hrstd="t" o:hr="t" fillcolor="#a0a0a0" stroked="f"/>
        </w:pict>
      </w:r>
    </w:p>
    <w:p w14:paraId="1F47546C" w14:textId="77777777" w:rsidR="00EF039D" w:rsidRPr="00EF039D" w:rsidRDefault="00EF039D" w:rsidP="00EF039D">
      <w:pPr>
        <w:rPr>
          <w:b/>
          <w:bCs/>
        </w:rPr>
      </w:pPr>
      <w:r w:rsidRPr="00EF039D">
        <w:rPr>
          <w:b/>
          <w:bCs/>
        </w:rPr>
        <w:t>2. Scope</w:t>
      </w:r>
    </w:p>
    <w:p w14:paraId="0E7E6CB5" w14:textId="77777777" w:rsidR="00EF039D" w:rsidRPr="00EF039D" w:rsidRDefault="00EF039D" w:rsidP="00EF039D">
      <w:r w:rsidRPr="00EF039D">
        <w:t>This policy applies to:</w:t>
      </w:r>
    </w:p>
    <w:p w14:paraId="231D1B72" w14:textId="77777777" w:rsidR="00EF039D" w:rsidRPr="00EF039D" w:rsidRDefault="00EF039D" w:rsidP="00EF039D">
      <w:pPr>
        <w:numPr>
          <w:ilvl w:val="0"/>
          <w:numId w:val="3"/>
        </w:numPr>
      </w:pPr>
      <w:r w:rsidRPr="00EF039D">
        <w:t>All Careers &amp; Employability Service staff</w:t>
      </w:r>
    </w:p>
    <w:p w14:paraId="2EB2A707" w14:textId="77777777" w:rsidR="00EF039D" w:rsidRPr="00EF039D" w:rsidRDefault="00EF039D" w:rsidP="00EF039D">
      <w:pPr>
        <w:numPr>
          <w:ilvl w:val="0"/>
          <w:numId w:val="3"/>
        </w:numPr>
      </w:pPr>
      <w:r w:rsidRPr="00EF039D">
        <w:t>All employers and recruiters engaging through the Careers Service</w:t>
      </w:r>
    </w:p>
    <w:p w14:paraId="16BE7D61" w14:textId="77777777" w:rsidR="00EF039D" w:rsidRPr="00EF039D" w:rsidRDefault="00EF039D" w:rsidP="00EF039D">
      <w:pPr>
        <w:numPr>
          <w:ilvl w:val="0"/>
          <w:numId w:val="3"/>
        </w:numPr>
      </w:pPr>
      <w:r w:rsidRPr="00EF039D">
        <w:t>All students and graduates accessing careers support</w:t>
      </w:r>
    </w:p>
    <w:p w14:paraId="24DCB0CE" w14:textId="77777777" w:rsidR="00EF039D" w:rsidRPr="00EF039D" w:rsidRDefault="00000000" w:rsidP="00EF039D">
      <w:r>
        <w:pict w14:anchorId="2ADAC09B">
          <v:rect id="_x0000_i1026" style="width:0;height:1.5pt" o:hralign="center" o:hrstd="t" o:hr="t" fillcolor="#a0a0a0" stroked="f"/>
        </w:pict>
      </w:r>
    </w:p>
    <w:p w14:paraId="41779C03" w14:textId="77777777" w:rsidR="00EF039D" w:rsidRPr="00EF039D" w:rsidRDefault="00EF039D" w:rsidP="00EF039D">
      <w:pPr>
        <w:rPr>
          <w:b/>
          <w:bCs/>
        </w:rPr>
      </w:pPr>
      <w:r w:rsidRPr="00EF039D">
        <w:rPr>
          <w:b/>
          <w:bCs/>
        </w:rPr>
        <w:t>3. Core Principles</w:t>
      </w:r>
    </w:p>
    <w:p w14:paraId="24A8FC61" w14:textId="77777777" w:rsidR="00EF039D" w:rsidRPr="00EF039D" w:rsidRDefault="00EF039D" w:rsidP="00EF039D">
      <w:r w:rsidRPr="00EF039D">
        <w:t xml:space="preserve">The Careers and Employability Service </w:t>
      </w:r>
      <w:proofErr w:type="gramStart"/>
      <w:r w:rsidRPr="00EF039D">
        <w:t>operates</w:t>
      </w:r>
      <w:proofErr w:type="gramEnd"/>
      <w:r w:rsidRPr="00EF039D">
        <w:t xml:space="preserve"> on the following principles:</w:t>
      </w:r>
    </w:p>
    <w:p w14:paraId="01E6CE30" w14:textId="77777777" w:rsidR="00EF039D" w:rsidRPr="00EF039D" w:rsidRDefault="00EF039D" w:rsidP="00EF039D">
      <w:pPr>
        <w:numPr>
          <w:ilvl w:val="0"/>
          <w:numId w:val="4"/>
        </w:numPr>
      </w:pPr>
      <w:r w:rsidRPr="00EF039D">
        <w:rPr>
          <w:b/>
          <w:bCs/>
        </w:rPr>
        <w:t>Legality</w:t>
      </w:r>
      <w:r w:rsidRPr="00EF039D">
        <w:t xml:space="preserve"> – engagement is based on compliance with UK law and applicable regulation</w:t>
      </w:r>
    </w:p>
    <w:p w14:paraId="0E80BCB7" w14:textId="77777777" w:rsidR="00EF039D" w:rsidRPr="00EF039D" w:rsidRDefault="00EF039D" w:rsidP="00EF039D">
      <w:pPr>
        <w:numPr>
          <w:ilvl w:val="0"/>
          <w:numId w:val="4"/>
        </w:numPr>
      </w:pPr>
      <w:r w:rsidRPr="00EF039D">
        <w:rPr>
          <w:b/>
          <w:bCs/>
        </w:rPr>
        <w:t>Impartiality</w:t>
      </w:r>
      <w:r w:rsidRPr="00EF039D">
        <w:t xml:space="preserve"> – the Service does not promote or discourage specific employers or career pathways</w:t>
      </w:r>
    </w:p>
    <w:p w14:paraId="7BD47193" w14:textId="6EF2E3E5" w:rsidR="00EF039D" w:rsidRPr="00EF039D" w:rsidRDefault="00EF039D" w:rsidP="00EF039D">
      <w:pPr>
        <w:numPr>
          <w:ilvl w:val="0"/>
          <w:numId w:val="4"/>
        </w:numPr>
      </w:pPr>
      <w:r w:rsidRPr="61DFE812">
        <w:rPr>
          <w:b/>
          <w:bCs/>
        </w:rPr>
        <w:t>Transparency</w:t>
      </w:r>
      <w:r>
        <w:t xml:space="preserve"> – decisions relating to employer engagement are evidence</w:t>
      </w:r>
      <w:r w:rsidR="24EBEC50">
        <w:t xml:space="preserve"> </w:t>
      </w:r>
      <w:r>
        <w:t>based and recorded</w:t>
      </w:r>
    </w:p>
    <w:p w14:paraId="201614FB" w14:textId="77777777" w:rsidR="00EF039D" w:rsidRPr="00EF039D" w:rsidRDefault="00EF039D" w:rsidP="00EF039D">
      <w:pPr>
        <w:numPr>
          <w:ilvl w:val="0"/>
          <w:numId w:val="4"/>
        </w:numPr>
      </w:pPr>
      <w:r w:rsidRPr="61DFE812">
        <w:rPr>
          <w:b/>
          <w:bCs/>
        </w:rPr>
        <w:t>Proportionality</w:t>
      </w:r>
      <w:r>
        <w:t xml:space="preserve"> – checks and restrictions are proportionate to identified risk</w:t>
      </w:r>
    </w:p>
    <w:p w14:paraId="1F48F5E6" w14:textId="24A081DC" w:rsidR="61DFE812" w:rsidRDefault="61DFE812" w:rsidP="61DFE812">
      <w:pPr>
        <w:ind w:left="720"/>
      </w:pPr>
    </w:p>
    <w:p w14:paraId="0A2FAF56" w14:textId="77777777" w:rsidR="00EF039D" w:rsidRPr="00EF039D" w:rsidRDefault="00000000" w:rsidP="00EF039D">
      <w:r>
        <w:lastRenderedPageBreak/>
        <w:pict w14:anchorId="251BB25B">
          <v:rect id="_x0000_i1027" style="width:0;height:1.5pt" o:hralign="center" o:hrstd="t" o:hr="t" fillcolor="#a0a0a0" stroked="f"/>
        </w:pict>
      </w:r>
    </w:p>
    <w:p w14:paraId="62663B06" w14:textId="77777777" w:rsidR="00EF039D" w:rsidRPr="00EF039D" w:rsidRDefault="00EF039D" w:rsidP="00EF039D">
      <w:pPr>
        <w:rPr>
          <w:b/>
          <w:bCs/>
        </w:rPr>
      </w:pPr>
      <w:r w:rsidRPr="00EF039D">
        <w:rPr>
          <w:b/>
          <w:bCs/>
        </w:rPr>
        <w:t>4. Impartiality Statement</w:t>
      </w:r>
    </w:p>
    <w:p w14:paraId="06F34BA5" w14:textId="77777777" w:rsidR="00EF039D" w:rsidRPr="00EF039D" w:rsidRDefault="00EF039D" w:rsidP="00EF039D">
      <w:r w:rsidRPr="00EF039D">
        <w:t>The Careers and Employability Service is impartial in:</w:t>
      </w:r>
    </w:p>
    <w:p w14:paraId="3EA9B316" w14:textId="77777777" w:rsidR="00EF039D" w:rsidRPr="00EF039D" w:rsidRDefault="00EF039D" w:rsidP="00EF039D">
      <w:pPr>
        <w:numPr>
          <w:ilvl w:val="0"/>
          <w:numId w:val="5"/>
        </w:numPr>
      </w:pPr>
      <w:r w:rsidRPr="00EF039D">
        <w:t>presenting opportunities to students and graduates</w:t>
      </w:r>
    </w:p>
    <w:p w14:paraId="0F482B09" w14:textId="77777777" w:rsidR="00EF039D" w:rsidRPr="00EF039D" w:rsidRDefault="00EF039D" w:rsidP="00EF039D">
      <w:pPr>
        <w:numPr>
          <w:ilvl w:val="0"/>
          <w:numId w:val="5"/>
        </w:numPr>
      </w:pPr>
      <w:r w:rsidRPr="00EF039D">
        <w:t>advising students on career options</w:t>
      </w:r>
    </w:p>
    <w:p w14:paraId="5EA7BC27" w14:textId="77777777" w:rsidR="00EF039D" w:rsidRPr="00EF039D" w:rsidRDefault="00EF039D" w:rsidP="00EF039D">
      <w:pPr>
        <w:numPr>
          <w:ilvl w:val="0"/>
          <w:numId w:val="5"/>
        </w:numPr>
      </w:pPr>
      <w:r w:rsidRPr="00EF039D">
        <w:t>facilitating access to employers</w:t>
      </w:r>
    </w:p>
    <w:p w14:paraId="63EA13BC" w14:textId="77777777" w:rsidR="00EF039D" w:rsidRPr="00EF039D" w:rsidRDefault="00EF039D" w:rsidP="00EF039D">
      <w:r>
        <w:t>The presence of an employer within Careers Service activity, whether online or on campus, does not constitute endorsement by the University.</w:t>
      </w:r>
    </w:p>
    <w:p w14:paraId="2603FEE5" w14:textId="77777777" w:rsidR="00EF039D" w:rsidRPr="00EF039D" w:rsidRDefault="00EF039D" w:rsidP="00EF039D">
      <w:r>
        <w:t>Equally, where engagement with an employer is restricted, this reflects institutional risk management, not a judgement on the suitability of the employer for individual student career choices.</w:t>
      </w:r>
    </w:p>
    <w:p w14:paraId="02566ABE" w14:textId="77777777" w:rsidR="00EF039D" w:rsidRPr="00EF039D" w:rsidRDefault="00000000" w:rsidP="00EF039D">
      <w:r>
        <w:pict w14:anchorId="329621CE">
          <v:rect id="_x0000_i1028" style="width:0;height:1.5pt" o:hralign="center" o:hrstd="t" o:hr="t" fillcolor="#a0a0a0" stroked="f"/>
        </w:pict>
      </w:r>
    </w:p>
    <w:p w14:paraId="48499C71" w14:textId="77777777" w:rsidR="00EF039D" w:rsidRPr="00EF039D" w:rsidRDefault="00EF039D" w:rsidP="00EF039D">
      <w:pPr>
        <w:rPr>
          <w:b/>
          <w:bCs/>
        </w:rPr>
      </w:pPr>
      <w:r w:rsidRPr="00EF039D">
        <w:rPr>
          <w:b/>
          <w:bCs/>
        </w:rPr>
        <w:t>5. Employer Legitimacy and Baseline Checks</w:t>
      </w:r>
    </w:p>
    <w:p w14:paraId="4B037557" w14:textId="77777777" w:rsidR="00EF039D" w:rsidRPr="00EF039D" w:rsidRDefault="00EF039D" w:rsidP="00EF039D">
      <w:pPr>
        <w:rPr>
          <w:b/>
          <w:bCs/>
        </w:rPr>
      </w:pPr>
      <w:r w:rsidRPr="00EF039D">
        <w:rPr>
          <w:b/>
          <w:bCs/>
        </w:rPr>
        <w:t>5.1 Standard checks</w:t>
      </w:r>
    </w:p>
    <w:p w14:paraId="5EB976BA" w14:textId="77777777" w:rsidR="00EF039D" w:rsidRPr="00EF039D" w:rsidRDefault="00EF039D" w:rsidP="00EF039D">
      <w:r w:rsidRPr="00EF039D">
        <w:t>All new organisations engaging with the Careers Service are subject to standard checks to confirm:</w:t>
      </w:r>
    </w:p>
    <w:p w14:paraId="0C0C9B89" w14:textId="77777777" w:rsidR="00EF039D" w:rsidRPr="00EF039D" w:rsidRDefault="00EF039D" w:rsidP="00EF039D">
      <w:pPr>
        <w:numPr>
          <w:ilvl w:val="0"/>
          <w:numId w:val="6"/>
        </w:numPr>
      </w:pPr>
      <w:r w:rsidRPr="00EF039D">
        <w:t>the organisation is a legitimate employer or recruitment agency</w:t>
      </w:r>
    </w:p>
    <w:p w14:paraId="5AB781B4" w14:textId="77777777" w:rsidR="00EF039D" w:rsidRPr="00EF039D" w:rsidRDefault="00EF039D" w:rsidP="00EF039D">
      <w:pPr>
        <w:numPr>
          <w:ilvl w:val="0"/>
          <w:numId w:val="6"/>
        </w:numPr>
      </w:pPr>
      <w:r w:rsidRPr="00EF039D">
        <w:t>contact details and roles advertised are genuine</w:t>
      </w:r>
    </w:p>
    <w:p w14:paraId="4CF7B34D" w14:textId="77777777" w:rsidR="00EF039D" w:rsidRPr="00EF039D" w:rsidRDefault="00EF039D" w:rsidP="00EF039D">
      <w:pPr>
        <w:numPr>
          <w:ilvl w:val="0"/>
          <w:numId w:val="6"/>
        </w:numPr>
      </w:pPr>
      <w:r w:rsidRPr="00EF039D">
        <w:t>the organisation is not listed on relevant UK Government or international sanctions registers</w:t>
      </w:r>
    </w:p>
    <w:p w14:paraId="55A673CD" w14:textId="77777777" w:rsidR="00EF039D" w:rsidRPr="00EF039D" w:rsidRDefault="00EF039D" w:rsidP="00EF039D">
      <w:r w:rsidRPr="00EF039D">
        <w:t>These checks are intended to protect students from fraud and illegal activity.</w:t>
      </w:r>
    </w:p>
    <w:p w14:paraId="6DB56FB6" w14:textId="77777777" w:rsidR="00EF039D" w:rsidRPr="00EF039D" w:rsidRDefault="00000000" w:rsidP="00EF039D">
      <w:r>
        <w:pict w14:anchorId="449BA005">
          <v:rect id="_x0000_i1029" style="width:0;height:1.5pt" o:hralign="center" o:hrstd="t" o:hr="t" fillcolor="#a0a0a0" stroked="f"/>
        </w:pict>
      </w:r>
    </w:p>
    <w:p w14:paraId="648B9D10" w14:textId="77777777" w:rsidR="00EF039D" w:rsidRPr="00EF039D" w:rsidRDefault="00EF039D" w:rsidP="00EF039D">
      <w:pPr>
        <w:rPr>
          <w:b/>
          <w:bCs/>
        </w:rPr>
      </w:pPr>
      <w:r w:rsidRPr="00EF039D">
        <w:rPr>
          <w:b/>
          <w:bCs/>
        </w:rPr>
        <w:t>6. Enhanced Due Diligence (Where Triggered)</w:t>
      </w:r>
    </w:p>
    <w:p w14:paraId="5B156A11" w14:textId="77777777" w:rsidR="00EF039D" w:rsidRPr="00EF039D" w:rsidRDefault="00EF039D" w:rsidP="00EF039D">
      <w:pPr>
        <w:rPr>
          <w:b/>
          <w:bCs/>
        </w:rPr>
      </w:pPr>
      <w:r w:rsidRPr="00EF039D">
        <w:rPr>
          <w:b/>
          <w:bCs/>
        </w:rPr>
        <w:t>6.1 Triggers</w:t>
      </w:r>
    </w:p>
    <w:p w14:paraId="5F9306A9" w14:textId="77777777" w:rsidR="00EF039D" w:rsidRPr="00EF039D" w:rsidRDefault="00EF039D" w:rsidP="00EF039D">
      <w:r>
        <w:t>Enhanced checks may be carried out only where specific, evidenced concerns arise, including:</w:t>
      </w:r>
    </w:p>
    <w:p w14:paraId="26735E3C" w14:textId="77777777" w:rsidR="00EF039D" w:rsidRPr="00EF039D" w:rsidRDefault="00EF039D" w:rsidP="00EF039D">
      <w:pPr>
        <w:numPr>
          <w:ilvl w:val="0"/>
          <w:numId w:val="7"/>
        </w:numPr>
      </w:pPr>
      <w:r w:rsidRPr="00EF039D">
        <w:t>confirmed legal or regulatory breaches</w:t>
      </w:r>
    </w:p>
    <w:p w14:paraId="32F2D94C" w14:textId="77777777" w:rsidR="00EF039D" w:rsidRPr="00EF039D" w:rsidRDefault="00EF039D" w:rsidP="00EF039D">
      <w:pPr>
        <w:numPr>
          <w:ilvl w:val="0"/>
          <w:numId w:val="7"/>
        </w:numPr>
      </w:pPr>
      <w:r w:rsidRPr="00EF039D">
        <w:t>enforcement action by a statutory body</w:t>
      </w:r>
    </w:p>
    <w:p w14:paraId="2987069D" w14:textId="77777777" w:rsidR="00EF039D" w:rsidRPr="00EF039D" w:rsidRDefault="00EF039D" w:rsidP="00EF039D">
      <w:pPr>
        <w:numPr>
          <w:ilvl w:val="0"/>
          <w:numId w:val="7"/>
        </w:numPr>
      </w:pPr>
      <w:r w:rsidRPr="00EF039D">
        <w:t>sanctions listings or government restrictions</w:t>
      </w:r>
    </w:p>
    <w:p w14:paraId="3C156BE2" w14:textId="77777777" w:rsidR="00EF039D" w:rsidRPr="00EF039D" w:rsidRDefault="00EF039D" w:rsidP="00EF039D">
      <w:pPr>
        <w:numPr>
          <w:ilvl w:val="0"/>
          <w:numId w:val="7"/>
        </w:numPr>
      </w:pPr>
      <w:r w:rsidRPr="00EF039D">
        <w:t>substantiated findings by courts or tribunals</w:t>
      </w:r>
    </w:p>
    <w:p w14:paraId="1CD89572" w14:textId="77777777" w:rsidR="00EF039D" w:rsidRPr="00EF039D" w:rsidRDefault="00EF039D" w:rsidP="00EF039D">
      <w:pPr>
        <w:numPr>
          <w:ilvl w:val="0"/>
          <w:numId w:val="7"/>
        </w:numPr>
      </w:pPr>
      <w:r w:rsidRPr="00EF039D">
        <w:lastRenderedPageBreak/>
        <w:t>credible safeguarding concerns relating to student welfare</w:t>
      </w:r>
    </w:p>
    <w:p w14:paraId="3BE9EFCF" w14:textId="77777777" w:rsidR="00EF039D" w:rsidRPr="00EF039D" w:rsidRDefault="00EF039D" w:rsidP="00EF039D">
      <w:r>
        <w:t>Media commentary, sector reputation, or ethical disagreement</w:t>
      </w:r>
      <w:r w:rsidRPr="61DFE812">
        <w:rPr>
          <w:b/>
          <w:bCs/>
        </w:rPr>
        <w:t xml:space="preserve"> alone</w:t>
      </w:r>
      <w:r>
        <w:t xml:space="preserve"> do not trigger enhanced checks.</w:t>
      </w:r>
    </w:p>
    <w:p w14:paraId="18A1B749" w14:textId="77777777" w:rsidR="00EF039D" w:rsidRPr="00EF039D" w:rsidRDefault="00000000" w:rsidP="00EF039D">
      <w:r>
        <w:pict w14:anchorId="2156C4E6">
          <v:rect id="_x0000_i1030" style="width:0;height:1.5pt" o:hralign="center" o:hrstd="t" o:hr="t" fillcolor="#a0a0a0" stroked="f"/>
        </w:pict>
      </w:r>
    </w:p>
    <w:p w14:paraId="0F013241" w14:textId="77777777" w:rsidR="00EF039D" w:rsidRPr="00EF039D" w:rsidRDefault="00EF039D" w:rsidP="00EF039D">
      <w:pPr>
        <w:rPr>
          <w:b/>
          <w:bCs/>
        </w:rPr>
      </w:pPr>
      <w:r w:rsidRPr="00EF039D">
        <w:rPr>
          <w:b/>
          <w:bCs/>
        </w:rPr>
        <w:t>7. Grounds for Restricting or Withdrawing Engagement</w:t>
      </w:r>
    </w:p>
    <w:p w14:paraId="3BF1AD13" w14:textId="77777777" w:rsidR="00EF039D" w:rsidRPr="00EF039D" w:rsidRDefault="00EF039D" w:rsidP="00EF039D">
      <w:r>
        <w:t>The Careers Service may restrict or withdraw engagement only where there is clear evidence of one or more of the following:</w:t>
      </w:r>
    </w:p>
    <w:p w14:paraId="418973FD" w14:textId="77777777" w:rsidR="00EF039D" w:rsidRPr="00EF039D" w:rsidRDefault="00EF039D" w:rsidP="00EF039D">
      <w:pPr>
        <w:numPr>
          <w:ilvl w:val="0"/>
          <w:numId w:val="8"/>
        </w:numPr>
      </w:pPr>
      <w:r w:rsidRPr="00EF039D">
        <w:t>breach of UK employment, equality, or safeguarding law</w:t>
      </w:r>
    </w:p>
    <w:p w14:paraId="513392B1" w14:textId="3583A89B" w:rsidR="00EF039D" w:rsidRPr="00EF039D" w:rsidRDefault="00EF039D" w:rsidP="00EF039D">
      <w:pPr>
        <w:numPr>
          <w:ilvl w:val="0"/>
          <w:numId w:val="8"/>
        </w:numPr>
      </w:pPr>
      <w:r>
        <w:t>regulator or court</w:t>
      </w:r>
      <w:r w:rsidR="40242A6A">
        <w:t xml:space="preserve"> </w:t>
      </w:r>
      <w:r>
        <w:t>determined misconduct relevant to recruitment or employment practices</w:t>
      </w:r>
    </w:p>
    <w:p w14:paraId="428F6BB7" w14:textId="77777777" w:rsidR="00EF039D" w:rsidRPr="00EF039D" w:rsidRDefault="00EF039D" w:rsidP="00EF039D">
      <w:pPr>
        <w:numPr>
          <w:ilvl w:val="0"/>
          <w:numId w:val="8"/>
        </w:numPr>
      </w:pPr>
      <w:r w:rsidRPr="00EF039D">
        <w:t>inclusion on official sanctions or prohibited activity lists</w:t>
      </w:r>
    </w:p>
    <w:p w14:paraId="1324160A" w14:textId="77777777" w:rsidR="00EF039D" w:rsidRPr="00EF039D" w:rsidRDefault="00EF039D" w:rsidP="00EF039D">
      <w:pPr>
        <w:numPr>
          <w:ilvl w:val="0"/>
          <w:numId w:val="8"/>
        </w:numPr>
      </w:pPr>
      <w:r w:rsidRPr="00EF039D">
        <w:t>demonstrable risk to student safety or wellbeing</w:t>
      </w:r>
    </w:p>
    <w:p w14:paraId="6A6E26D7" w14:textId="77777777" w:rsidR="00EF039D" w:rsidRPr="00EF039D" w:rsidRDefault="00EF039D" w:rsidP="00EF039D">
      <w:r w:rsidRPr="00EF039D">
        <w:t>Decisions will not be based on:</w:t>
      </w:r>
    </w:p>
    <w:p w14:paraId="1ED50290" w14:textId="77777777" w:rsidR="00EF039D" w:rsidRPr="00EF039D" w:rsidRDefault="00EF039D" w:rsidP="00EF039D">
      <w:pPr>
        <w:numPr>
          <w:ilvl w:val="0"/>
          <w:numId w:val="9"/>
        </w:numPr>
      </w:pPr>
      <w:r w:rsidRPr="00EF039D">
        <w:t>the industry or sector in which an employer operates</w:t>
      </w:r>
    </w:p>
    <w:p w14:paraId="6CD01CD6" w14:textId="77777777" w:rsidR="00EF039D" w:rsidRPr="00EF039D" w:rsidRDefault="00EF039D" w:rsidP="00EF039D">
      <w:pPr>
        <w:numPr>
          <w:ilvl w:val="0"/>
          <w:numId w:val="9"/>
        </w:numPr>
      </w:pPr>
      <w:r w:rsidRPr="00EF039D">
        <w:t>political, social, or ethical positions not grounded in law</w:t>
      </w:r>
    </w:p>
    <w:p w14:paraId="06EF255F" w14:textId="77777777" w:rsidR="00EF039D" w:rsidRPr="00EF039D" w:rsidRDefault="00EF039D" w:rsidP="00EF039D">
      <w:pPr>
        <w:numPr>
          <w:ilvl w:val="0"/>
          <w:numId w:val="9"/>
        </w:numPr>
      </w:pPr>
      <w:r w:rsidRPr="00EF039D">
        <w:t>subjective assessment of an employer’s “values”</w:t>
      </w:r>
    </w:p>
    <w:p w14:paraId="1F796915" w14:textId="77777777" w:rsidR="00EF039D" w:rsidRPr="00EF039D" w:rsidRDefault="00000000" w:rsidP="00EF039D">
      <w:r>
        <w:pict w14:anchorId="18CC604F">
          <v:rect id="_x0000_i1031" style="width:0;height:1.5pt" o:hralign="center" o:hrstd="t" o:hr="t" fillcolor="#a0a0a0" stroked="f"/>
        </w:pict>
      </w:r>
    </w:p>
    <w:p w14:paraId="0FC10D9E" w14:textId="0768F53E" w:rsidR="00EF039D" w:rsidRPr="00EF039D" w:rsidRDefault="00EF039D" w:rsidP="00EF039D">
      <w:pPr>
        <w:rPr>
          <w:b/>
          <w:bCs/>
        </w:rPr>
      </w:pPr>
      <w:r w:rsidRPr="61DFE812">
        <w:rPr>
          <w:b/>
          <w:bCs/>
        </w:rPr>
        <w:t>8. Decision</w:t>
      </w:r>
      <w:r w:rsidR="48E205B8" w:rsidRPr="61DFE812">
        <w:rPr>
          <w:b/>
          <w:bCs/>
        </w:rPr>
        <w:t xml:space="preserve"> </w:t>
      </w:r>
      <w:r w:rsidRPr="61DFE812">
        <w:rPr>
          <w:b/>
          <w:bCs/>
        </w:rPr>
        <w:t>Making and Governance</w:t>
      </w:r>
    </w:p>
    <w:p w14:paraId="7C3428B5" w14:textId="77777777" w:rsidR="00EF039D" w:rsidRPr="00EF039D" w:rsidRDefault="00EF039D" w:rsidP="00EF039D">
      <w:pPr>
        <w:numPr>
          <w:ilvl w:val="0"/>
          <w:numId w:val="10"/>
        </w:numPr>
      </w:pPr>
      <w:r>
        <w:t>Decisions to restrict or withdraw employer engagement are taken by the Head of Careers (or nominee).</w:t>
      </w:r>
    </w:p>
    <w:p w14:paraId="780A9E70" w14:textId="77777777" w:rsidR="00EF039D" w:rsidRPr="00EF039D" w:rsidRDefault="00EF039D" w:rsidP="00EF039D">
      <w:pPr>
        <w:numPr>
          <w:ilvl w:val="0"/>
          <w:numId w:val="10"/>
        </w:numPr>
      </w:pPr>
      <w:r w:rsidRPr="00EF039D">
        <w:t xml:space="preserve">Decisions must be: </w:t>
      </w:r>
    </w:p>
    <w:p w14:paraId="4A6D241A" w14:textId="77777777" w:rsidR="00EF039D" w:rsidRPr="00EF039D" w:rsidRDefault="00EF039D" w:rsidP="00EF039D">
      <w:pPr>
        <w:numPr>
          <w:ilvl w:val="1"/>
          <w:numId w:val="10"/>
        </w:numPr>
      </w:pPr>
      <w:r w:rsidRPr="00EF039D">
        <w:t>based on documented evidence</w:t>
      </w:r>
    </w:p>
    <w:p w14:paraId="580EC532" w14:textId="77777777" w:rsidR="00EF039D" w:rsidRPr="00EF039D" w:rsidRDefault="00EF039D" w:rsidP="00EF039D">
      <w:pPr>
        <w:numPr>
          <w:ilvl w:val="1"/>
          <w:numId w:val="10"/>
        </w:numPr>
      </w:pPr>
      <w:r w:rsidRPr="00EF039D">
        <w:t>proportionate to the identified risk</w:t>
      </w:r>
    </w:p>
    <w:p w14:paraId="49B00181" w14:textId="77777777" w:rsidR="00EF039D" w:rsidRPr="00EF039D" w:rsidRDefault="00EF039D" w:rsidP="00EF039D">
      <w:pPr>
        <w:numPr>
          <w:ilvl w:val="1"/>
          <w:numId w:val="10"/>
        </w:numPr>
      </w:pPr>
      <w:r w:rsidRPr="00EF039D">
        <w:t>recorded for audit purposes</w:t>
      </w:r>
    </w:p>
    <w:p w14:paraId="003692C0" w14:textId="77777777" w:rsidR="00EF039D" w:rsidRPr="00EF039D" w:rsidRDefault="00EF039D" w:rsidP="00EF039D">
      <w:pPr>
        <w:numPr>
          <w:ilvl w:val="0"/>
          <w:numId w:val="10"/>
        </w:numPr>
      </w:pPr>
      <w:r w:rsidRPr="00EF039D">
        <w:t xml:space="preserve">Where appropriate, advice may be sought from </w:t>
      </w:r>
      <w:proofErr w:type="gramStart"/>
      <w:r w:rsidRPr="00EF039D">
        <w:t>University</w:t>
      </w:r>
      <w:proofErr w:type="gramEnd"/>
      <w:r w:rsidRPr="00EF039D">
        <w:t xml:space="preserve"> legal, safeguarding, or governance teams.</w:t>
      </w:r>
    </w:p>
    <w:p w14:paraId="48A87DE8" w14:textId="77777777" w:rsidR="00EF039D" w:rsidRPr="00EF039D" w:rsidRDefault="00EF039D" w:rsidP="00EF039D">
      <w:r w:rsidRPr="00EF039D">
        <w:t>Employers will be informed of decisions in a clear and factual manner.</w:t>
      </w:r>
    </w:p>
    <w:p w14:paraId="02F302EE" w14:textId="77777777" w:rsidR="00EF039D" w:rsidRPr="00EF039D" w:rsidRDefault="00000000" w:rsidP="00EF039D">
      <w:r>
        <w:pict w14:anchorId="73976560">
          <v:rect id="_x0000_i1032" style="width:0;height:1.5pt" o:hralign="center" o:hrstd="t" o:hr="t" fillcolor="#a0a0a0" stroked="f"/>
        </w:pict>
      </w:r>
    </w:p>
    <w:p w14:paraId="3D7DAF38" w14:textId="695DFEC2" w:rsidR="61DFE812" w:rsidRDefault="61DFE812"/>
    <w:p w14:paraId="0ED9AE74" w14:textId="06D64B8A" w:rsidR="61DFE812" w:rsidRDefault="61DFE812"/>
    <w:p w14:paraId="6808FCF2" w14:textId="2529AF15" w:rsidR="61DFE812" w:rsidRDefault="61DFE812"/>
    <w:p w14:paraId="3FC41790" w14:textId="77777777" w:rsidR="00EF039D" w:rsidRPr="00EF039D" w:rsidRDefault="00EF039D" w:rsidP="00EF039D">
      <w:pPr>
        <w:rPr>
          <w:b/>
          <w:bCs/>
        </w:rPr>
      </w:pPr>
      <w:r w:rsidRPr="00EF039D">
        <w:rPr>
          <w:b/>
          <w:bCs/>
        </w:rPr>
        <w:t>9. Supporting Students to Make Informed Choices</w:t>
      </w:r>
    </w:p>
    <w:p w14:paraId="60C8C482" w14:textId="77777777" w:rsidR="00EF039D" w:rsidRPr="00EF039D" w:rsidRDefault="00EF039D" w:rsidP="00EF039D">
      <w:r w:rsidRPr="00EF039D">
        <w:t>The Careers Service recognises that students hold a wide range of personal values and priorities.</w:t>
      </w:r>
    </w:p>
    <w:p w14:paraId="11278DDD" w14:textId="77777777" w:rsidR="00EF039D" w:rsidRPr="00EF039D" w:rsidRDefault="00EF039D" w:rsidP="00EF039D">
      <w:r w:rsidRPr="00EF039D">
        <w:t>The Service will:</w:t>
      </w:r>
    </w:p>
    <w:p w14:paraId="357A1A92" w14:textId="77777777" w:rsidR="00EF039D" w:rsidRPr="00EF039D" w:rsidRDefault="00EF039D" w:rsidP="00EF039D">
      <w:pPr>
        <w:numPr>
          <w:ilvl w:val="0"/>
          <w:numId w:val="11"/>
        </w:numPr>
      </w:pPr>
      <w:r w:rsidRPr="00EF039D">
        <w:t xml:space="preserve">provide balanced, </w:t>
      </w:r>
      <w:proofErr w:type="gramStart"/>
      <w:r w:rsidRPr="00EF039D">
        <w:t>factual information</w:t>
      </w:r>
      <w:proofErr w:type="gramEnd"/>
      <w:r w:rsidRPr="00EF039D">
        <w:t xml:space="preserve"> about roles and sectors</w:t>
      </w:r>
    </w:p>
    <w:p w14:paraId="285A313A" w14:textId="77777777" w:rsidR="00EF039D" w:rsidRPr="00EF039D" w:rsidRDefault="00EF039D" w:rsidP="00EF039D">
      <w:pPr>
        <w:numPr>
          <w:ilvl w:val="0"/>
          <w:numId w:val="11"/>
        </w:numPr>
      </w:pPr>
      <w:r w:rsidRPr="00EF039D">
        <w:t>support students to ask their own questions of potential employers</w:t>
      </w:r>
    </w:p>
    <w:p w14:paraId="271F3DE9" w14:textId="77777777" w:rsidR="00EF039D" w:rsidRPr="00EF039D" w:rsidRDefault="00EF039D" w:rsidP="00EF039D">
      <w:pPr>
        <w:numPr>
          <w:ilvl w:val="0"/>
          <w:numId w:val="11"/>
        </w:numPr>
      </w:pPr>
      <w:r w:rsidRPr="00EF039D">
        <w:t>encourage critical evaluation without directing students towards or away from specific employers</w:t>
      </w:r>
    </w:p>
    <w:p w14:paraId="7496E431" w14:textId="3C967A04" w:rsidR="00EF039D" w:rsidRPr="00EF039D" w:rsidRDefault="00EF039D" w:rsidP="00EF039D">
      <w:r>
        <w:t xml:space="preserve">Responsibility for ethical or </w:t>
      </w:r>
      <w:proofErr w:type="gramStart"/>
      <w:r>
        <w:t>value</w:t>
      </w:r>
      <w:r w:rsidR="544281A0">
        <w:t xml:space="preserve"> </w:t>
      </w:r>
      <w:r>
        <w:t>based</w:t>
      </w:r>
      <w:proofErr w:type="gramEnd"/>
      <w:r>
        <w:t xml:space="preserve"> career decisions rests with the individual student.</w:t>
      </w:r>
    </w:p>
    <w:p w14:paraId="5BBD0FC1" w14:textId="77777777" w:rsidR="00EF039D" w:rsidRPr="00EF039D" w:rsidRDefault="00000000" w:rsidP="00EF039D">
      <w:r>
        <w:pict w14:anchorId="12191A4D">
          <v:rect id="_x0000_i1033" style="width:0;height:1.5pt" o:hralign="center" o:hrstd="t" o:hr="t" fillcolor="#a0a0a0" stroked="f"/>
        </w:pict>
      </w:r>
    </w:p>
    <w:p w14:paraId="7F1244F0" w14:textId="77777777" w:rsidR="00EF039D" w:rsidRPr="00EF039D" w:rsidRDefault="00EF039D" w:rsidP="00EF039D">
      <w:pPr>
        <w:rPr>
          <w:b/>
          <w:bCs/>
        </w:rPr>
      </w:pPr>
      <w:r w:rsidRPr="00EF039D">
        <w:rPr>
          <w:b/>
          <w:bCs/>
        </w:rPr>
        <w:t>10. Continuous Review</w:t>
      </w:r>
    </w:p>
    <w:p w14:paraId="7AEBA59E" w14:textId="77777777" w:rsidR="00EF039D" w:rsidRPr="00EF039D" w:rsidRDefault="00EF039D" w:rsidP="00EF039D">
      <w:r w:rsidRPr="00EF039D">
        <w:t>This policy will be:</w:t>
      </w:r>
    </w:p>
    <w:p w14:paraId="3D3D971C" w14:textId="77777777" w:rsidR="00EF039D" w:rsidRPr="00EF039D" w:rsidRDefault="00EF039D" w:rsidP="00EF039D">
      <w:pPr>
        <w:numPr>
          <w:ilvl w:val="0"/>
          <w:numId w:val="12"/>
        </w:numPr>
      </w:pPr>
      <w:r w:rsidRPr="00EF039D">
        <w:t>reviewed periodically to ensure it remains aligned with legislation and University policy</w:t>
      </w:r>
    </w:p>
    <w:p w14:paraId="7EDAD89F" w14:textId="77777777" w:rsidR="00EF039D" w:rsidRPr="00EF039D" w:rsidRDefault="00EF039D" w:rsidP="00EF039D">
      <w:pPr>
        <w:numPr>
          <w:ilvl w:val="0"/>
          <w:numId w:val="12"/>
        </w:numPr>
      </w:pPr>
      <w:r w:rsidRPr="00EF039D">
        <w:t>updated in response to changes in regulatory requirements or operational practice</w:t>
      </w:r>
    </w:p>
    <w:p w14:paraId="2CB54898" w14:textId="77777777" w:rsidR="00EF039D" w:rsidRPr="00EF039D" w:rsidRDefault="00000000" w:rsidP="00EF039D">
      <w:r>
        <w:pict w14:anchorId="6812AA5A">
          <v:rect id="_x0000_i1034" style="width:0;height:1.5pt" o:hralign="center" o:hrstd="t" o:hr="t" fillcolor="#a0a0a0" stroked="f"/>
        </w:pict>
      </w:r>
    </w:p>
    <w:p w14:paraId="3191750E" w14:textId="21F21CEF" w:rsidR="61DFE812" w:rsidRDefault="61DFE812"/>
    <w:p w14:paraId="56BE2184" w14:textId="13663D4B" w:rsidR="61DFE812" w:rsidRDefault="61DFE812"/>
    <w:p w14:paraId="7FD22B9F" w14:textId="18A4710D" w:rsidR="61DFE812" w:rsidRDefault="61DFE812"/>
    <w:p w14:paraId="5C490934" w14:textId="10141DC1" w:rsidR="61DFE812" w:rsidRDefault="61DFE812"/>
    <w:p w14:paraId="14A77DEF" w14:textId="167117D1" w:rsidR="61DFE812" w:rsidRDefault="61DFE812"/>
    <w:p w14:paraId="1C7940F0" w14:textId="00249D95" w:rsidR="61DFE812" w:rsidRDefault="61DFE812"/>
    <w:p w14:paraId="0363A702" w14:textId="4CF28303" w:rsidR="61DFE812" w:rsidRDefault="61DFE812"/>
    <w:p w14:paraId="2F5C05E7" w14:textId="6F0E0E8E" w:rsidR="61DFE812" w:rsidRDefault="61DFE812"/>
    <w:p w14:paraId="60E97752" w14:textId="65A11090" w:rsidR="61DFE812" w:rsidRDefault="61DFE812"/>
    <w:p w14:paraId="27FE60EA" w14:textId="4B866E22" w:rsidR="61DFE812" w:rsidRDefault="61DFE812" w:rsidP="61DFE812"/>
    <w:p w14:paraId="6730AF78" w14:textId="1D02A47B" w:rsidR="00EF039D" w:rsidRPr="00EF039D" w:rsidRDefault="00EF039D" w:rsidP="00EF039D">
      <w:r w:rsidRPr="61DFE812">
        <w:rPr>
          <w:b/>
          <w:bCs/>
        </w:rPr>
        <w:t>Head of Careers</w:t>
      </w:r>
      <w:r>
        <w:br/>
        <w:t>March 2026</w:t>
      </w:r>
      <w:r w:rsidR="00000000">
        <w:pict w14:anchorId="2F1E293F">
          <v:rect id="_x0000_i1035" style="width:0;height:1.5pt" o:hralign="center" o:hrstd="t" o:hr="t" fillcolor="#a0a0a0" stroked="f"/>
        </w:pict>
      </w:r>
    </w:p>
    <w:sectPr w:rsidR="00EF039D" w:rsidRPr="00EF03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79"/>
    <w:multiLevelType w:val="multilevel"/>
    <w:tmpl w:val="824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35F03"/>
    <w:multiLevelType w:val="multilevel"/>
    <w:tmpl w:val="7AC2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946C9"/>
    <w:multiLevelType w:val="multilevel"/>
    <w:tmpl w:val="96E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A5E07"/>
    <w:multiLevelType w:val="multilevel"/>
    <w:tmpl w:val="E524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F06C4"/>
    <w:multiLevelType w:val="multilevel"/>
    <w:tmpl w:val="919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05C18"/>
    <w:multiLevelType w:val="multilevel"/>
    <w:tmpl w:val="A14A3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B2BB5"/>
    <w:multiLevelType w:val="multilevel"/>
    <w:tmpl w:val="035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A22E1"/>
    <w:multiLevelType w:val="multilevel"/>
    <w:tmpl w:val="902C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5003D"/>
    <w:multiLevelType w:val="multilevel"/>
    <w:tmpl w:val="AEBE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62B5B"/>
    <w:multiLevelType w:val="multilevel"/>
    <w:tmpl w:val="F100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31EB0"/>
    <w:multiLevelType w:val="multilevel"/>
    <w:tmpl w:val="F8B8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537C3"/>
    <w:multiLevelType w:val="multilevel"/>
    <w:tmpl w:val="D842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516F8"/>
    <w:multiLevelType w:val="multilevel"/>
    <w:tmpl w:val="C512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E311F"/>
    <w:multiLevelType w:val="multilevel"/>
    <w:tmpl w:val="502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100835">
    <w:abstractNumId w:val="1"/>
  </w:num>
  <w:num w:numId="2" w16cid:durableId="852106154">
    <w:abstractNumId w:val="11"/>
  </w:num>
  <w:num w:numId="3" w16cid:durableId="566184157">
    <w:abstractNumId w:val="13"/>
  </w:num>
  <w:num w:numId="4" w16cid:durableId="473521667">
    <w:abstractNumId w:val="2"/>
  </w:num>
  <w:num w:numId="5" w16cid:durableId="589890675">
    <w:abstractNumId w:val="10"/>
  </w:num>
  <w:num w:numId="6" w16cid:durableId="1325470086">
    <w:abstractNumId w:val="8"/>
  </w:num>
  <w:num w:numId="7" w16cid:durableId="449128624">
    <w:abstractNumId w:val="0"/>
  </w:num>
  <w:num w:numId="8" w16cid:durableId="1729769609">
    <w:abstractNumId w:val="4"/>
  </w:num>
  <w:num w:numId="9" w16cid:durableId="1877615742">
    <w:abstractNumId w:val="6"/>
  </w:num>
  <w:num w:numId="10" w16cid:durableId="1332098496">
    <w:abstractNumId w:val="5"/>
  </w:num>
  <w:num w:numId="11" w16cid:durableId="1788428101">
    <w:abstractNumId w:val="9"/>
  </w:num>
  <w:num w:numId="12" w16cid:durableId="89929906">
    <w:abstractNumId w:val="12"/>
  </w:num>
  <w:num w:numId="13" w16cid:durableId="431902258">
    <w:abstractNumId w:val="7"/>
  </w:num>
  <w:num w:numId="14" w16cid:durableId="918252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9D"/>
    <w:rsid w:val="00137388"/>
    <w:rsid w:val="00177017"/>
    <w:rsid w:val="002D37C2"/>
    <w:rsid w:val="004C6FF9"/>
    <w:rsid w:val="00586F52"/>
    <w:rsid w:val="007C5226"/>
    <w:rsid w:val="00AB412D"/>
    <w:rsid w:val="00B12AE1"/>
    <w:rsid w:val="00CE7243"/>
    <w:rsid w:val="00E170C7"/>
    <w:rsid w:val="00E70BD0"/>
    <w:rsid w:val="00EF039D"/>
    <w:rsid w:val="00FD1BD8"/>
    <w:rsid w:val="034B24F9"/>
    <w:rsid w:val="24EBEC50"/>
    <w:rsid w:val="325D1FC2"/>
    <w:rsid w:val="40242A6A"/>
    <w:rsid w:val="48E205B8"/>
    <w:rsid w:val="53DDBD0F"/>
    <w:rsid w:val="544281A0"/>
    <w:rsid w:val="61DFE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F5D3"/>
  <w15:chartTrackingRefBased/>
  <w15:docId w15:val="{737598C8-0EF1-4A53-9A59-7EBD051F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39D"/>
    <w:rPr>
      <w:rFonts w:eastAsiaTheme="majorEastAsia" w:cstheme="majorBidi"/>
      <w:color w:val="272727" w:themeColor="text1" w:themeTint="D8"/>
    </w:rPr>
  </w:style>
  <w:style w:type="paragraph" w:styleId="Title">
    <w:name w:val="Title"/>
    <w:basedOn w:val="Normal"/>
    <w:next w:val="Normal"/>
    <w:link w:val="TitleChar"/>
    <w:uiPriority w:val="10"/>
    <w:qFormat/>
    <w:rsid w:val="00EF0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9D"/>
    <w:pPr>
      <w:spacing w:before="160"/>
      <w:jc w:val="center"/>
    </w:pPr>
    <w:rPr>
      <w:i/>
      <w:iCs/>
      <w:color w:val="404040" w:themeColor="text1" w:themeTint="BF"/>
    </w:rPr>
  </w:style>
  <w:style w:type="character" w:customStyle="1" w:styleId="QuoteChar">
    <w:name w:val="Quote Char"/>
    <w:basedOn w:val="DefaultParagraphFont"/>
    <w:link w:val="Quote"/>
    <w:uiPriority w:val="29"/>
    <w:rsid w:val="00EF039D"/>
    <w:rPr>
      <w:i/>
      <w:iCs/>
      <w:color w:val="404040" w:themeColor="text1" w:themeTint="BF"/>
    </w:rPr>
  </w:style>
  <w:style w:type="paragraph" w:styleId="ListParagraph">
    <w:name w:val="List Paragraph"/>
    <w:basedOn w:val="Normal"/>
    <w:uiPriority w:val="34"/>
    <w:qFormat/>
    <w:rsid w:val="00EF039D"/>
    <w:pPr>
      <w:ind w:left="720"/>
      <w:contextualSpacing/>
    </w:pPr>
  </w:style>
  <w:style w:type="character" w:styleId="IntenseEmphasis">
    <w:name w:val="Intense Emphasis"/>
    <w:basedOn w:val="DefaultParagraphFont"/>
    <w:uiPriority w:val="21"/>
    <w:qFormat/>
    <w:rsid w:val="00EF039D"/>
    <w:rPr>
      <w:i/>
      <w:iCs/>
      <w:color w:val="0F4761" w:themeColor="accent1" w:themeShade="BF"/>
    </w:rPr>
  </w:style>
  <w:style w:type="paragraph" w:styleId="IntenseQuote">
    <w:name w:val="Intense Quote"/>
    <w:basedOn w:val="Normal"/>
    <w:next w:val="Normal"/>
    <w:link w:val="IntenseQuoteChar"/>
    <w:uiPriority w:val="30"/>
    <w:qFormat/>
    <w:rsid w:val="00EF0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39D"/>
    <w:rPr>
      <w:i/>
      <w:iCs/>
      <w:color w:val="0F4761" w:themeColor="accent1" w:themeShade="BF"/>
    </w:rPr>
  </w:style>
  <w:style w:type="character" w:styleId="IntenseReference">
    <w:name w:val="Intense Reference"/>
    <w:basedOn w:val="DefaultParagraphFont"/>
    <w:uiPriority w:val="32"/>
    <w:qFormat/>
    <w:rsid w:val="00EF0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Mills</dc:creator>
  <cp:keywords/>
  <dc:description/>
  <cp:lastModifiedBy>Dave Stanbury</cp:lastModifiedBy>
  <cp:revision>3</cp:revision>
  <dcterms:created xsi:type="dcterms:W3CDTF">2026-03-23T13:15:00Z</dcterms:created>
  <dcterms:modified xsi:type="dcterms:W3CDTF">2026-06-03T10:58:00Z</dcterms:modified>
</cp:coreProperties>
</file>